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его требования в размере 14 788 482 рублей 48 копеек. Определением Арбитражного суда города Москвы от 23.09.2019, оставленным без изменения постановлением Девятого арбитражного апелляционного суда от 10.02.2020, заявление признано обоснованным, требование включено в третью очередь реестра. Постановлением Арбитражного суда Московского округа от 01.06.2020 вышеуказанные судебные акты отменены, обособленный спор направлен на новое рассмотрение в Арбитражный суд города Москвы. В кассационной жалобе, поданной в Верховный Суд Российской Федерации, заявитель просит отменить постановление суда округа, оставить в силе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судебные акты и направляя обособленный спор на новое рассмотрение, суд округа, руководствуясь положениями статей 19, 71 и 100 Федерального закона от 26.10.2002 № 127-ФЗ «О несостоятельности (банкротстве)», исходил из несоответствия выводов судов фактическим обстоятельствам дела и имеющимся в деле доказательствам, а также из неполного исследования судами обстоятельств дела, которые могут иметь существенное значение для разрешения спора, что привело к преждевременным выводам и вынесению необоснованных судебных актов. При новом рассмотрении судам необходимо надлежащим образом установить действительную правовую природу отношений между обществом и должником, дать оценку их экономической целесообразности, а также дать мотивированную оценку доводам конкурсного управляющего должником, в том числе доводам о заинтересованности сторон спорных отношений и их мнимости.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 новом рассмотрении заявитель не лишен возможности изложить свои доводы со ссылками на нормы права и имеющиеся в деле доказательства, поскольку обособленный спор направлен судом округа на новое рассмотрение, а вопрос об удовлетворении либо отказе в удовлетворении заявления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БФК»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