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Баринов А.А. обратился в суд с заявлением о разрешении разногласий с конкурсным управляющим должника Уваровским В.В. в части требований Баринова А.А. об отнесении к текущим платежам по делу о банкротстве должника расходов размере 142 540 рублей, понесённых им по обособленному спору о взыскании убытков с арбитражного управляющего Баринова А.А. как с бывшего конкурсного управляющего должником. Определением Арбитражного суда города Москвы от 19.11.2019, оставленным без изменения постановлениями Девятого арбитражного апелляционного суда от 10.02.2020 и Арбитражного суда Московского округа от 25.05.2020,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части 2 статьи 69 и статьи 110 Арбитражного процессуального кодекса Российской Федерации, признав, что действия Баринова А.А. по подаче настоящего заявления о разрешении разногласий по своей сути направлены на пересмотр результатов другого обособленного спора в рамках настоящего дела о банкротстве, где вступившим в силу определением Арбитражного суда города Москвы от 05.07.2020 было отказано во взыскании в пользу Баринова А.А. судебных расходов в размере 142 540 рублей, пришли к выводу об отсутствии оснований для удовлетворения заявления.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Баринову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