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задолженности по договорам займа от 18.11.15 № 2 и от 12.09.2015 в размере 3 896 278 рублей 36 копеек. Определением Арбитражного суда Московской области от 24.09.2019, оставленным без изменения постановлением Десятого арбитражного апелляционного суда от 13.12.2019, отказано в удовлетворении заявления. Постановлением Арбитражного суда Московского округа от 19.05.2020 требования признаны обоснованными и подлежащими удовлетворению после погашения требований, указанных в пункте 4 статьи 142 Федерального закона от 26.10.2002 № 127-ФЗ «О несостоятельности (банкротстве)» (далее – Закон о банкротстве), но приоритетно по отношению к требованиям лиц, получающих имущество должника по правилам пункта 1 статьи 148 Закона о банкротстве и пункта 8 статьи 63 Гражданского кодекса российской Федерации. В кассационной жалобе, поданной в Верховный Суд Российской Федерации, заявитель просит отменить указанное постановление суда округа,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обоснованность требований, суд округа, руководствуясь положениями статей 71 и 100 Закона о банкротстве, позицией, изложенной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указав на установление судами обстоятельств заинтересованности ФИО1 и должника по отношению друг к другу, квалифицировал отношения, положенные в основу требований, как компенсационное финансирование, которое не может быть противопоставлено требованиям независимых кредиторов.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АДМИНИСТРАЦИЯ ГОРОДСКОГО ОКРУГА СТУПИНО МОСКОВСКОЙ ОБЛАСТИ (подробнее) АО "МОСЭНЕРГОСБЫТ" (подробнее) Ассоциация СРО "ЦААУ" (подробнее) ЗАО "Компания Лагуна" (подробнее) ИФНС ПО Г. СТУПИНО МО (подробнее) ООО "ПРОИЗВОДСТВЕННО-ТОРГОВАЯ КОМПАНИЯ ЭКОПРОДУКТ" (подробнее) Ответчики: ООО "СТУПИНО МИЛК" (подробнее) Иные лица: Ассоциация "МСОПАУ"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