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30.09.2019, оставленным без изменения постановлением Девятого арбитражного апелляционного суда от 09.12.2019 и постановлением Арбитражного суда Московского округа от 29.05.2020, с фирмы в пользу общества взыскано 105 677 307 руб. 58 коп. неосновательного обогащения, 16 239 562 руб. 14 коп. процентов за пользование чужими денежными средствами за период с 13.09.2017 по 18.09.2019, а также проценты на сумму неосновательного обогащения за период с 10.09.2019 по дату фактической оплаты; в удовлетворении остальной части исковых требований отказано. В кассационной жалобе, поданной в Верховный Суд Российской Федерации, фирма, ссылаясь на нарушение судами норм материального и процессуального права, просит отменить указанные судебные акты и принять новый судебный акт об отказе в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 общества (подрядчика) мотивирован необоснованным отказом фирмы (генподрядчика) от возврата денежных средств в виде гарантийного удержания в процентном соотношении от стоимости работ, выполненных подрядчиком в рамках договора от 24.12.2013 № 24-12/13-НГХК в редакции дополнительных соглашений (далее – договор). Руководствуясь статьями 309 , 310 , 329 , 330 , 395 , 421 , 702 , 711 , 753 , 755 , 1102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14.07.1997 № 17 «Обзор практики применения арбитражными судами статьи 333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суды первой и апелляционной инстанций пришли к выводу о том, что спорная сумма является штрафной санкцией и, применив к ней по заявлению ответчика статью 333 Гражданского кодекса Российской Федерации, частично удовлетворили исковые требования, с чем впоследствии согласился суд округа. Довод заявителя о нарушении судами требований статьи 69 Арбитражного процессуального кодекса Российской Федерации не нашел своего подтверждения. С учетом установленных фактических обстоятельств настоящего дела изложенные в кассационной жалобе доводы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«Производственная фирма «ВИС»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ЗАО "Донэнергомонтаж" (подробнее) Ответчики: ООО "Производственная фирма "ВИС"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