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05.12.2019, оставленным без изменения постановлением Девятого арбитражного апелляционного суда от 04.02.2020 и постановлением Арбитражного суда Московского округа от 04.06.2020, с общества в пользу компании взыскано 800 000 руб. неосновательного обогащения, 136 690 руб. 40 коп. процентов за пользование чужими денежными средствами; в удовлетворении остальной части исковых требований отказано. В кассационных жалобах, поданных в Верховный Суд Российской Федерации, общество и компания просят отменить указанные судебные акты, ссылаясь на нарушение судами норм права.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учитывая вступившее в законную силу решение Арбитражного суда города Москвы от 17.05.2018 по делу № А40-117567/2017, руководствуясь статьями 395, 1102, 1107 Гражданского кодекса Российской Федерации, суды первой и апелляционной инстанций пришли к выводу о наличии оснований для частичного удовлетворения исковых требований. В частности, суды исходили из того, что у ответчика не имеется оснований для удержания перечисленных ему истцом денежных средств в размере 800 000 руб. после взыскания их ответчиком с третьего лица в судебном порядке без учета произведенного истцом перечисления; денежные средства в размере 2 550 000 руб. перечислены истцом на счет ответчика за третье лицо во исполнение договора, который не расторгнут, у истца не возникло права требования этой суммы. Суд округа признал выводы судов первой и апелляционной инстанций законным и обоснованным. Доводы кассационных жалоб не опровергают выводы судов и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«Кабиб» и общества с ограниченной ответственностью «Ремонтно-Строительная Компания «АГАТ»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