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08.10.2019, оставленным без изменения постановлением Четырнадцатого арбитражного апелляционного суда от 20.01.2020 и постановлением Арбитражного суда Северо-Западного округа от 18.05.2020, иск удовлетворен.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и представленным в материалы дела доказательствам,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тем, что компания по устной договоренности с обществом выполнила строительно-монтажные работы на объекте, которые последним не оплачены.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суды первой и апелляционной инстанций установили, что факт выполнения истцом работ на спорном объекте ответчиком не оспаривался; стоимость выполненных истцом работ составляет 268 747 руб. При таких обстоятельствах, отметив, что ответчиком нарушен установленный порядок приемки выполненных работ, руководствуясь статьями 307 , 309 , 310 , 424 , 720 , 740 , 753 Гражданского кодекса Российской Федерации, суды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полномочия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«Кайсар»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"ДомРемСтрой" (подробнее) Ответчики: ООО "КАЙСАР" (подробнее) Иные лица: ИП Тиханова Мария Павловна (подробнее) ООО "АгроТорг" (подробнее) ОСП по г.Череповцу №1 УФССП России по ВО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