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12.11.2019 в удовлетворении иска отказано.Постановлением Девятого арбитражного апелляционного суда от 27.01.2020 решение суда первой инстанции отменено, с общества в пользу компании взыскано 2 446 525 руб. долга, 50 000 руб. судебных расходов, 38 233 руб. расходов по уплате государственной пошлины по иску и апелляционной жалобе. Постановлением Арбитражного суда Московского округа от 22.05.2020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материального права, просит отменить их постановления и оставить в силе решение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 мотивирован неисполнением обществом обязательств по оплате работ, выполненных компанией в рамках договора от 09.10.2017 № 09Ф/17. Отменяя решение суда первой инстанции и удовлетворяя исковые требования, суд апелляционной инстанции руководствовался статьями 309 , 310 , 314 , 711 Гражданского кодекса Российской Федерации и исходил из установленных обстоятельств, свидетельствующих об отсутствии существенного нарушения срока выполнения работ со стороны истца, направлении им проектной документации в адрес ответчика до расторжения договора последним, наличии потребительской ценности результата работ. Также судом учтено, что доказательств возврата результата работ, как и доказательств некачественного выполнения работ ответчиком не представлено. Суд округа признал выводы апелляционного суда законными и обоснованными. Доводы кассационной жалобы не свидетельствуют о существенном нарушении судами апелляционной инстанции и округа норм материального и процессуального права, повлиявших на исход дела, по существу направлены на переоценку установленных фактических обстоятельств дела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«КОМОКС»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ДРИМФОРМ (подробнее) Ответчики: ООО "Комокс"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