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23.10.2019, оставленным без изменения постановлением Девятнадцатого арбитражного апелляционного суда от 28.01.2020 и постановлением Арбитражного суда Центрального округа от 20.05.2020, в удовлетворении иска отказано.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431 , 709 , 711 , 720 , 753 , 1102 Гражданского кодекса Российской Федерации, суды первой и апелляционной инстанций, с которыми согласился суд округа, пришли к выводу о недоказанности факта неосновательного обогащения ответчика за счет истца и, как следствие, об отсутствии оснований для удовлетворения иска. Доводы предпринимателя о несоответствии выводов судов обстоятельствам спора и неправильном применении норм права аналогичны доводам, заявлявшимся в судах нижестоящих инстанций и получившим правовую оценку. Поскольку существенных нарушений судами норм материального права и (или) норм процессуального права, повлиявших на исход дела, доводы жалобы не подтверждают,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Нестеров Владимир Валентинович (подробнее) Ответчики: ООО "БМА Руссланд"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