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Кировской области от 22.11.2019, оставленным без изменения постановлением Второго арбитражного апелляционного суда от 07.02.2020 и постановлением Арбитражного суда Волго-Вятского округа от 16.06.2020, в удовлетворении заявленного требования отказано. В кассационной жалобе, поданной в Верховный Суд Российской Федерации, управление ФССП России,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28.05.2019 на официальном сайте единой информационной системы в сфере закупок размещено извещение № 0140100008619000089 о проведении электронного аукциона на поставку автомобильных шин для нужд управления ФССП России (заказчик). На участие в электронном аукционе подано семь заявок. При этом согласно протоколу рассмотрения заявок на участие в электронном аукционе от 07.06.2019 комиссией заказчика принято решение об отказе в допуске к участию заявки общества. Не согласившись с действиями конкурсной комиссии, общество обратилось в антимонопольный органа с жалобой, по результатам рассмотрения управлением вынесено решение о признании жалобы обоснованной. Несогласие с решением антимонопольного органа послужило основанием для обращения управления ФССП России в арбитражный суд. Оценив представленные в материалы дела доказательства, суды первой и апелляционной инстанций, руководствуясь статьями 33, 59, 64, 67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системе), статьями 1477 , 1479 , 1481 Гражданского кодекса Российской Федерации, пришли к выводу о том, что решение антимонопольного органа соответствует положениям законодательства и не нарушает прав и законных интересов заявителя, с чем согласился суд округа. Судами установлено, что основанием для отказа в допуске к участию в аукционе явилось неуказание участником конкретных показателей товара, соответствующих значениям, установленным в документации об электронном аукционе, и указание на товарный знак (при наличии). Между тем, техническая часть (аукционное задание) документации об аукционе содержала указание на товарный знак Cordiant и необходимые характеристики товара, в связи с чем у общества отсутствовала обязанность указывать в первой части заявки конкретные показатели товара. Кроме того, в первой части заявки общество выразило согласие на поставку товара, в отношении которого в аукционной документации содержится указание на товарный знак, с помощью программно-аппаратных средств электронной площадки. Таким образом, управлением ФССП России необоснованно была отклонена заявка общества на участие в аукционе.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судебных приставов по Кировской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УФССП по Кировской области (подробнее) Ответчики: Управление Федеральной антимонопольной службы по Кировской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