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24.10.2018, оставленным постановлением Восемнадцатого арбитражного апелляционного суда от 25.01.2019, в удовлетворении заявленных требований отказано. Общество обратилось в Арбитражный суд Челябинской области с заявлением о взыскании судебных расходов в размере 35 000 рублей. Определением Арбитражного суда Челябинской области от 24.10.2019, оставленным без изменения постановлением Восемнадцатого арбитражного апелляционного суда от 13.01.2020, заявление удовлетворено частично, с фонда в пользу общества взыскано 6500 рублей в возмещение судебных расходов на оплату услуг представителя, в удовлетворении остальной части требований отказано. Постановлением Арбитражного суда Уральского округа от 18.05.2020 указанные судебные акты оставлены без изменения. В кассационной жалобе, поступившей в Верховный Суд Российской Федерации, общество просит отменить обжалуемые судебные акты, считая их принятыми с существенным нарушением норм процессуального права. Исходя из доводов жалобы, судья не находит оснований для ее передачи для рассмотрения в судебном заседании Судебной коллегии по экономическим спорам Верховного Суда Российской Федерации. Руководствуясь положениями статьей 101 , 106 , 110 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суды признали, что заявленные к взысканию судебные расходы на оплату услуг представителя являются разумными и обоснованными в размере 6 500 рублей. Доводы, изложенные в кассационной жалобе являлись предметом рассмотрения судов, им дана исчерпывающая правовая оценка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Заявленные в жалобе ходатайства подлежат оставлению без рассмотрения, поскольку судья Верховного Суда Российской Федерации изучает кассационную жалобу по приложенным к ней материалам без вызова сторон. Кассационная жалоба вместе с делом рассматривается в судебном заседании Судебной коллегии Верховного Суда Российской Федерации в случае установления судьей оснований для передачи такой жалобы вместе с делом для рассмотрения в судебном заседании Судебной коллегии Верховного Суда Российской Федерации и вынесения определения о передаче жалобы Суда Российской Федерации. В данном случае таких оснований не установлено.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ГУ УПФР в Советском районе г. Челябинска (подробнее) Ответчики: ООО "ЕВРОКОММЕРЦЪ"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