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12.09.2019, оставленным без изменения постановлением Седьмого арбитражного апелляционного суда от 18.12.2019 и постановлением Арбитражного суда Западно-Сибирского округа от 21.05.2020, исковые требования компании о взыскании с общества 32 411 033 руб. 89 коп., в том числе по договору субподряда от 30.09.2014 № 360/14 – 28 952 673 руб. 03 коп. долга и 440 239 руб. 27 коп. процентов за пользование чужими денежными средствами, по договору субподряда от 26.12.2014 № 497/14 – 2 972 916 руб. 96 коп. долга и 45 204 руб. 63 коп. процентов за пользование чужими денежными средствами оставлены без рассмотрения. В удовлетворении остальной части исковых требований отказано.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и принять новый судебный акт об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общество (генподрядчик) и компания (подрядчик) заключили договоры субподряда от 30.09.2014 № 360/14, от 26.12.2014 № 497/14. Обращаясь в арбитражный суд с иском по настоящему делу, компания сослалась на следующее: общество не оплатило в полном объеме выполненные компанией в рамках названных договоров работы, уменьшив их стоимость на стоимость услуг генподряда; поскольку соглашения об оказании услуг генподряда стороны не заключали, соответствующие услуги общество не оказывало, у него отсутствуют основания для удержания спорных денежных средств.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431 , 711 , 746 Гражданского кодекса Российской Федерации, статьей 5 Федерального закона от 26.10.2002 № 127-ФЗ «О несостоятельности (банкротстве)», и разъяснениями, изложенными в постановлении Пленума Высшего Арбитражного Суда Российской Федерации от 23.07.2009 № 63 «О текущих платежах по денежным обязательствам в деле о банкротстве»,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суды первой и апелляционной инстанций пришли к выводу, что требования компании о взыскании долга по оплате работ, выполненных до 15.07.2016 (даты принятия арбитражным судом заявления о признании общества банкротом), и начисленных на эти суммы процентов, не являются текущими, в связи с чем на основании пункта 4 части 1 статьи 148 Арбитражного процессуального кодекса Российской Федерации оставили их без рассмотрения. Отказывая в удовлетворении остальной части требований, суды исходили из того, что услуги генподряда, на основании которых обществом производились удержания, согласованы сторонами в спорных договорах и фактически оказаны, поэтому указанные удержания произведены правомерно. С указанными выводами впоследствии согласился суд округа. Приведенные компанией в кассационной жалобе доводы аналогичны заявлявшимся в судах и получившим надлежащую правовую оценку, не согласиться с которой оснований не имеется, при этом существенных нарушений судами норм материального и процессуального права, повлиявших на исход дела, не подтверждают, в связи с чем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«АТЭП»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"АТЭП" (подробнее) Ответчики: АО "СИБМОСТ" (подробнее) Иные лица: АО член Ассоциации "Межрегиональная саморегулируемая организация профессиональнных арбитражных управляющих" врем. упр. "Сибмост" Петрущенкова Ю.М. (подробнее) Арбитражный суд Западно-Сибирского округа (подробнее) ИФНС по Ленинскому району г. Новосибирска (подробнее) Седьмой арбитражный апелляционный суд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