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«Прометей» обратилось в Арбитражный суд Ивановской области с иском, уточненным в порядке статьи 49 Арбитражного процессуального кодекса Российской Федерации, о взыскании с акционерного общества коммерческого инвестиционного банка «Евроальянс» 313 590 рублей 73 копеек неосновательного обогащения и 61 201 рубля 75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Межрегиональное управление Федеральной службы по финансовому мониторингу по Центральному федеральному округу, Центральный Банк Российской Федерации. Решением Арбитражного суда Ивановской области от 14.08.2019 иск удовлетворен. Постановлением Второго арбитражный апелляционного суда от 12.12.2019 решение суда первой инстанции оставлено без изменения. Арбитражный суд Волго-Вятского округа постановлением от 01.06.2020 указанные судебные акты оставил без изменения. Акционерное общество коммерческий инвестиционный банк «Евроальянс»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разрешении спора суды руководствовались положениями статей 845 , 851 , 856 , 1102 Гражданского кодекса Российской Федерации, Федерального закона от 07.08.2001 № 115-ФЗ «О противодействии легализации (отмыванию) доходов, полученных преступным путем, и финансированию терроризма».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коммерческому инвестиционному банку «Евроальянс»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"Прометей" (подробнее) Ответчики: ОАО "Коммерческий инвестиционный банк "Евроальянс" (подробнее) Иные лица: Межрегиональное управление Федеральной службы по финансовому мониторингу по ЦФО (подробнее) Центральный банк Российской Федерации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