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06.12.2019, оставленным без изменения постановлением Пятого арбитражного апелляционного суда от 31.01.2020, в удовлетворении заявления отказано. Постановлением Арбитражного суда Дальневосточного округа от 04.06.2020 указанные судебные акты отменены, дело направлено на новое рассмотрение в суд первой инстанции. 2 Арбитражный управляющий обратился в Верховный Суд Российской Федерации с кассационной жалобой, в которой просит постановление суда округа отменить, считая его принятым с нарушением норм материального и процессуального права.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Суд округа отменил судебные акты судов первой и апелляционной инстанций и направил дело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При этом суд округа указал на необходимость судам исследовать и оценить все представленные в материалы дела доказательства относительно уведомления арбитражного управляющего о месте, дате и времени составления протокола, и с учетом результата их оценки в совокупности и взаимосвязи принять обоснованное решение.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Поскольку заявитель в силу части 1 статьи 41 Арбитражного процессуального кодекса Российской Федерации не лишен возможности 3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спора,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