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26.11.2019, оставленным без изменения постановлениями Четвертого арбитражного апелляционного суда от 13.02.2020 и Арбитражного суда Восточно-Сибирского округа от 25.06.2020, заявленные требования удовлетворены, с Иркутской области в лице министерства социального развития за счет средств казны Иркутской области в пользу общества взыскано 10 643 480 рублей убытков. В кассационных жалобах, поданных в Верховный Суд Российской Федерации, министерство социального развития и министерство финансов ставят вопрос об отмене принятых по делу судебных актов,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истец в период с января по сентябрь 2016 года осуществлял деятельность по перевозке в городском и пригородном сообщении пассажиров, относящихся к отдельным категориям граждан, оказание мер социальной поддержки которых относится к ведению Российской Федерации и Иркутской области. За спорный период времени Иркутской областью были возмещены понесенные обществом расходы, связанные с оказанием транспортных услуг отдельным категориям граждан, из расчета 30 поездок за один реализованный билет. Постановлениями Правительства Иркутской области от 24.08.2016 № 508-пп и от 31.08.2016 № 585-пп объем субсидий за период январь-сентябрь 2016 года был увеличен. При обращении за получением субсидии в порядке, определенном вышеназванными нормативными актами, истцу было отказано в связи с несогласованием представленного перевозчиком расчета сумм расходов службой по тарифам Иркутской области. Данные обстоятельства послужили основанием для обращения общества в арбитражный суд с настоящим иском.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15, 16 Гражданского кодекса Российской Федерации, статей 78, 85, 158 Бюджетного кодекса Российской Федерации,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Положением об обеспечении равной доступности услуг общественного транспорта в Иркутской области для отдельных категорий граждан, утвержденным постановлением Правительства Иркутской области от 18.11.2013 № 521-пп, с учетом правовой позиции, изложенной в постановлениях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Пленума Верховного Суда Российской Федерации от 28.05.2019 № 13 «О некоторых вопросах применения 3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Федерации», суды пришли к выводу о том, что убытки, возникшие у истца в связи с предоставлением льгот по перевозке в общественном пассажирском транспорте отдельным категориям граждан, в отношении которых оказываются меры социальной поддержки, подлежат возмещению за счет казны субъекта Российской Федерации. При этом судебные инстанции установили отсутствие у министерства социального развития оснований для отказа в предоставлении субсидий и наличие в его действиях вины в не предоставлении истцу субсидий положенными ему в соответствии с подзаконными актами. Доводы кассационных жалоб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социального развития, опеки и попечительства Иркутской области и Министерству финансов Иркутской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