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23.09.2019, оставленным без изменения постановлением Девятого арбитражного апелляционного суда от 05.12.2019, в удовлетворении иска отказано. Арбитражный суд Московского округа постановлением от 09.06.2020 решение от 23.09.2019 и постановление Девятого арбитражного апелляционного суда от 05.12.2019 оставил без изменения. В кассационной жалобе общество «Страховая компания «Арсеналъ» просит об отмене судебных актов вследствие неправильного применения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страховая выплата произведена обществом «Страховая компания «Арсеналъ» в связи со страховым случаем, попадающим под действие контракта от 12.09.2016 № 31/29ГК,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Федерации», поэтому правомерно отказали в переложении ее на ответчика.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