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MARBALE UNIVERSAL CORP на основании договора уступки права (требования) от 31.03.2019 обратилась в Арбитражный суд Челябинской области с иском о взыскании с общества с ограниченной ответственностью «Уральская руда» (ранее наименование – общество с ограниченной ответственностью «Круглогорский горно-обогатительный комбинат») 205 322 770 рублей 79 копеек задолженности по договору займа от 14.02.2018 № П-03/18, в том числе 171 192 000 рублей основного долга, 14 786 074 рублей 79 копеек процентов за период с 07.03.2018 по 26.07.2019, 19 344 696 рублей неустойки за период с 05.04.2019 по 26.07.2019.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Уральскому федеральному округу и ФИО1. Решением Арбитражного суда Челябинской области от 22.10.2019 в удовлетворении иска отказано. Постановлением Восемнадцатого арбитражного апелляционного суда от 30.12.2019 решение суда первой инстанции оставлено без изменения. Арбитражный суд Уральского округа постановлением от 08.06.2020 указанные судебные акты оставил без изменения. ФИО1 обратился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аффилированность истца, ответчика и третьего лица: ФИО1 (займодавец) является одним из участников (80%) ООО «Круглогорский ГОК» (заемщика) и единственным акционером MARBALE UNIVERSAL CORP (цессионария), признав, что обязательства, неисполнение которых послужило основанием для обращения в арбитражный суд (независимо от их конкретного содержания), имеют мнимый характер, руководствуясь положениями статей 10 , 167 , 170 Гражданского кодекса Российской Федерации, суды пришли к выводу, что заявленные требования являются необоснованными, не направлены на восстановление какого-либо нарушенного права и являются злоупотреблением правом.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MARBALE UNIVERSAL CORP (подробнее) MARBALE UNIVERSAL CORP (Мабэйл Юниверсал Корп) (подробнее) MARBALE UNIVERSAL CORP (Мабэйл Юниверсал Корп) представитель (подробнее) ООО "Уральская руда" (подробнее) Представитель MARBALE UNIVERSAL CORP Кузнецов А.Н. (подробнее) Ответчики: ООО "Круглогорский горнообогатительный комбинат" (подробнее) Судьи дела: Зарубина Е.Н.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