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03.10.2019, оставленным без изменения постановлением Девятого арбитражного апелляционного суда от 11.12.2019 и постановлением Арбитражного суда Московского округа от 03.06.2020, в удовлетворении заявленного требования отказано. В кассационной жалобе, поданной в Верховный Суд Российской Федерации, ФИО1,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Банка России от 21.12.2018 № ОД-3271 у кредитной организации Акционерный коммерческий банк «РУССОБАНК» (акционерное общество) (далее – банк) отозвана лицензия на осуществление банковских операций. В связи с отзывом лицензии Банк России приказом от 21.12.2018 № ОД-3272 назначил временную администрацию по управлению кредитной организацией, на должность руководителя временной администрации назначен сотрудник банка ФИО3 ФИО1, владеющая 19,95 % акций банка, обратилась к ФИО3 с письмом, в котором предложила инициировать обжалование всех предписаний, направленных в течение 2018 года в адрес банка, и приказа Банка России от 21.12.2018 № ОД-3271. Оставление заявления без ответа послужило основанием для обращения ФИО1 в арбитражный суд. Рассматривая спор, суды, оценив представленные в материалы дела доказательства, руководствуясь положениями статей 189.9, 189.25, 189.31 Федерального закона от 26.10.2002 № 127-ФЗ «О несостоятельности (банкротстве)», Положением о временной администрации по управлению кредитной организацией, утвержденным Банком России 09.11.2005 № 279-П, пришли к выводу об отсутствии со стороны Банка России и ФИО3 незаконного бездействия. Судебные инстанции исходили из отсутствия у руководителя временной администрации обязанности по обжалованию предписаний административного органа. При этом временная администрация по управлению кредитной организацией действовала лишь до дня принятия Арбитражным судом города Москвы решения о признании должника несостоятельным (банкротом) и об открытии конкурсного производства, в связи с чем избранный заявителем способ защиты не может привести к восстановлению его предположительно нарушенных прав. Доводы заявителя в обоснование незаконности предписаний обоснованно не приняты судами как не подлежащие оценке в рамках настоящего спора. Иные доводы, изложенные в кассационной жалобе, не опровергают выводы судов,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АО ЦЕНТРАЛЬНЫЙ БАНК РФ В ЛИЦЕ РУКОВОДИТЕЛЯ ВРЕМЕННОЙ АДМИНИСТРАЦИИ РУССОБАНК БУДАРИНА ВАЛЕРИЯ ВИКТОРОВИЧА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