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«Матиник» обратилось в Арбитражный суд Иркутской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«Востсибком» 8 838 242 рублей 54 копеек задолженности за товар, поставленный по договору поставки от 20.03.2014 № 01. Решением Арбитражного суда Иркутской области от 03.12.2019 в удовлетворении иска отказано. Постановлением Четвертого арбитражного апелляционного суда от 13.03.2020 решение суда первой инстанции оставлено без изменения. Арбитражный суд Восточно-Сибирского округа постановлением от 19.06.2020 указанные судебные акты оставил без изменения. Общество с ограниченной ответственностью «Матиник»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иска, суды руководствовались статьями 195 , 196 , 382 , 391 , 392.3 , 431 Гражданского кодекса Российской Федерации, разъяснениями, содержащимися в пункте 3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и исходили из пропуска истцом срока исковой давности и ничтожности соглашения о переводе долга. Доводы жалобы, с учетом установленных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«Матиник»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"Матиник" (подробнее) Ответчики: ООО "Востсибком"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