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14.10.2019, оставленным без изменения постановлением Седьмого арбитражного апелляционного суда от 30.12.2019, первоначальный иск удовлетворен частично, с предпринимателя в пользу учреждения взыскано 56 122,26 рублей пени, в удовлетворении остальной части отказано; в удовлетворении встречного иска отказано. Постановлением Арбитражного суда Западно-Сибирского округа от 27.05.2020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первоначальный иск частично, признав причиной нарушения срока выполнения работ действия (бездействие) как учреждения (заказчика), так и предпринимателя (подрядчика); отказали в удовлетворении встречного иска, установив, что работы учреждением оплачены, начисление штрафа за просрочку исполнения обязательства в виде оплаты результата выполненных работ контрактом не предусмотрено. Доводы жалобы были предметом исследования судов и получили исчерпывающую правовую оценку применительно к установленным обстоятельствам и условиям контракта,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Поскольку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имеется, ходатайство об участии в судебном заседании путем использования систем видеоконференц-связи рассмотрению не подлежит.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Муниципальное бюджетное общеобразовательное учреждение "Средняя общеобразовательная школа №197 имени В. Маркелова"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