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13.01.2020, оставленным без изменения постановлением Четвертого арбитражного апелляционного суда от 18.03.2020, в удовлетворении иска отказано. Постановлением Арбитражного суда Восточно-Сибирского округа от 23.06.2020 решение и постановление апелляционного суда отменены, дело направлено на новое рассмотрение в Арбитражный суд Иркутской области. В кассационной жалобе компания просит отменить постановление окружного суда, ссылаясь на отсутствие оснований для отмены решения суда первой инстанции, полно установившей обстоятельства дела, и процессуальные нарушения. 2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не исследовали имеющих существенное значение для разрешения дела обстоятельств. Обжалуемое постановление принято окружным судом в соответствии с полномочиями и пределами их осуществления, предусмотренными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компания «Росгосстрах»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