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25.12.2019, оставленным без изменения постановлениями Девятого арбитражного апелляционного суда от 26.02.2020 и Арбитражного суда Московского округа от 03.06.2020, в удовлетворении требований предпринимателя отказано. В кассационной жалобе, поданной в Верховный Суд Российской Федерации, предприниматель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был признан победителем открытого аукциона в электронной форме на поставку канцелярских товаров для нужд образовательных организаций, подведомственных Департаменту образования и науки города Москвы, от 18.09.2019 № 0873500000819004236, в связи с чем в его адрес направлен проект гражданско-правового договора для подписания. Протокол разногласий, направленный в адрес учреждения (заказчик) со ссылкой на то, что приложение № 2 «Перечень поставляемого товара к техническому заданию» не соответствует первоначальной аукционной документации и техническому заданию, отклонен заказчиком, в связи с чем между предпринимателем и учреждением заключен контракт от 18.10.2019 № ГК2070/2019/4/4 на условиях заказчика. Полагая, что меняя в проекте контракта единицу измерения товара с «ШТУКА» на «УПАКОВКА», заказчик изменил существенное условие контракта о предмете, увеличив количество поставляемого товара, предприниматель обратился в суд с настоящим иском.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309 , 310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учитывая правовую позицию, изложенную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пришли к выводу об отсутствии оснований для удовлетворения требований предпринимателя. При этом судебные инстанции исходили из того, что стороны согласовали и подписали контракт, который заказчик в одностороннем порядке не изменял. Положения аукционной документации были разъяснены всем участникам до момента торгов и у истца имелся достаточный срок для ознакомления с указанной документацией, представлено полное описание необходимого к поставке товара и что сторонам следует понимать под термином «ШТУКА» подробно индивидуализировалось в техническом задании, в котором четко сформулированы качественные и количественные характеристики товара, не допускающие его двоякого толкования. Установлено, что предпринимателем не выполнены условия контракта в неоспариваемых им позициях, в связи с чем ответчиком принято решение о расторжении контракта № ГК2070/2019/4/4 от 18.10.2019, которое вступило в силу 13.12.2019. Доводы кассационной жалобы являлись предметом рассмотрения судов и получили надлежащую правовую оценку, направлены на иную оценку установленных фактических обстоятельств дела и представленных в материалы дела доказательств,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ГОСУДАРСТВЕННОЕ БЮДЖЕТНОЕ ОБЩЕОБРАЗОВАТЕЛЬНОЕ УЧРЕЖДЕНИЕ ГОРОДА МОСКВЫ "ШКОЛА №2070"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