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18.10.2019, оставленным без изменения постановлением Девятого арбитражного апелляционного суда от 29.01.2020 и постановлением Арбитражного суда Московского округа от 03.06.2020, в удовлетворении иска отказано. Встречное исковое заявление о признании договора страхования недействительным возвращено обществу «ВСК». В кассационной жалобе общество «ТрансСистем» просит об отмене судебных актов, ссылаясь на неосновательное невзыскание 1 080 000 рублей, не относящихся к повреждению салона автомобиля.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требуемое страховое возмещение составляет стоимость восстановления салона автомобиля, повреждения которого не связаны с заявленным страховым случаем. Расходы на восстановление кузова возмещены страховщиком выплатой 682 864 рублей и 4 486 000 рублей страхового возмещения. Таким образом, выплаченное страховое возмещение составляет убытки в застрахованном имуществе в связи с рассматриваемым страховым случаем и соответствует статье 929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"Транссистем" (подробнее) Ответчики: АО Страховое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