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23.10.2019, оставленным без изменения постановлением Первого арбитражного апелляционного суда от 30.01.2020, в удовлетворении иска отказано вследствие пропуска срока исковой давности. Арбитражный суд Волго-Вятского округа постановлением от 27.05.2020 решение от 23.10.2019 и постановление Первого арбитражного апелляционного суда от 30.01.2020 оставил без изменения. В кассационной жалобе общество «Торговый дом «Кабель» просит об отмене судебных актов вследствие неправильного исчисления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797 Гражданского кодекса Российской Федерации срок исковой давности по требованиям, возникающим из перевозки груза, устанавливается в один год с момента, определяемого в соответствии с транспортными уставами или кодексами (о возмещении ущерба вследствие утраты груза – со дня признания груза утраченным (статья 42 Федерального закона от 08.11.2007 № 259-ФЗ «Устав автомобильного транспорта и городского наземного электрического транспорта»). Суды установили, что заявитель признал груз утраченным в направленной ответчику претензии от 11.04.2018.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«Кабель»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"Торговый Дом "Кабель ПК" (подробнее) Ответчики: ООО ТК Ника-Транс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