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Брянской области от 06.11.2019, оставленным без изменения постановлением Двадцатого арбитражного апелляционного суда от 10.02.2020 и постановлением Арбитражного суда Центрального округа от 03.06.2020, иск удовлетворен частично. В кассационной жалобе учреждение просит отменить судебные акты, ссылаясь на неоказание охранных услуг и игнорирование встречного иска.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признали, что неподписание учреждением направленных обществом актов выполненных работ в отсутствие мотивированных возражений в согласованный договором от 01.05.2016 № 04/16 срок, не влечет сложения обязанности по оплате в силу статьи 779 , 781 Гражданского кодекса Российской Федерации услуг, оказание которых подтверждено исследованными доказательствами. Заявление, названное встречным исковым заявлением, таковым не признано исходя из содержания.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частному образовательному учреждению дополнительного профессионального образования «Спеццентр»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ООО "ЧОП "ПремьерБезопасность" (подробнее) Ответчики: ЧОУ ДПО "Спеццентр" (подробнее) Иные лица: Главное управление МЧС России по Брянской области (подробнее) Отдел адресно-справочной работы УВМ УМВД России по Брянской области (подробнее) Прокуратура Брянской области (подробнее) УМВД по г. Брянску (подробнее) УМВД России по Брянской области (подробнее) ФЕДЕРАЛЬНОЕ ГОСУДАРСТВЕННОЕ КАЗЕННОЕ УЧРЕЖДЕНИЕ "УПРАВЛЕНИЕ ВНЕВЕДОМСТВЕННОЙ ОХРАНЫ ВОЙСК НАЦИОНАЛЬНОЙ ГВАРДИИ РОССИЙСКОЙ ФЕДЕРАЦИИ ПО БРЯНСКОЙ ОБЛАСТИ" (подробнее) Судьи дела: Ксенофонтова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