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18.09.2019 иск удовлетворен за счет общества «Драла». Одиннадцатый арбитражный апелляционный суд перешел к рассмотрению дела по правилам для суда первой инстанции и постановлением от 17.03.2020 отменил решение от 18.09.2019 и удовлетворил иск за счет общества «Драла». Арбитражный суд Поволжского округа постановлением от 09.06.2020 постановление апелляционного суда от 17.03.2020 оставил без изменения. В кассационной жалобе общество «Драла» просит об отмене указанных судебных актов, ссылаясь на то, что убытки причинены при использовании общедомового имущества.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Исходя из установленных обстоятельств возникновения убытков, суды признали их находящимися в причинно-следственной связи с использованием жилого помещения, находящегося в собственности общества «Драла», поэтому удовлетворили иск за его счет на основании статей 15 , 1064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«Драла»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СПАО "РЕСО-Гарантия" (подробнее) СПАО "РЕСО-Гарантия", в лице филиала г. Тольятти (подробнее) Ответчики: ТСЖ "Янтарь"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