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13.11.2019, оставленным без изменения постановлением Восьмого арбитражного апелляционного суда от 30.01.2020 и постановлением Арбитражного суда Западно-Сибирского округа от 04.06.2020, иск удовлетворен. В кассационной жалобе общество «Агро-Снаб» просит о пересмотре судебных актов вследствие игнорирования пропуска истцом срока исковой давности.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Заявленные убытки основаны на условии договора от 22.10.2013 № 72-ПТ10/2013, поэтому и срок исковой давности подлежит исчислению применительно к договору. Суды установили, что по условиям обязательства истец может возместить за счет ответчика уже понесенные либо предъявленные к возмещению по претензиям контрагентов расходы. Следовательно, срок исковой давности по требованию с ответчика договорных убытков не может начаться ранее несения истцом расходов или предъявления ему сторонними лицами требований о них. Суды исчисли срок исковой давности в соответствии с договором и правилами статей 196 , 200 Гражданского кодекса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«Агро-Снаб»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"Петролеум Трейдинг" (подробнее) Ответчики: ООО "Агро-Снаб" (подробнее) Судьи дела: Ксенофонтова Н.А.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