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11.09.2019, оставленным без изменения постановлением Девятого арбитражного апелляционного суда от 20.12.2019 и постановлением Арбитражного суда Московского округа от 04.06.2020, иск удовлетворен. В кассационной жалобе общество «Антарес» просит отменить судебные акты, ссылаясь на неправомерное требование об уплате неустойки до исполнения истцом договорной обязанности по передаче актов оказанных услуг и неосновательное неуменьшение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внесение ежемесячной платы за услуги в твердой сумме в определенный срок в силу договора от 13.03.2015 № 77-3-111 не обусловлено каким-либо обстоятельством, но не соблюдено ответчиком. Оснований для освобождения от неустойки, а также уменьшения ее размера судами не установлено.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«Антарес»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"АТРУА" (подробнее) Ответчики: ООО "Антарес"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