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27.08.2019, оставленным без изменения постановлением Девятого арбитражного апелляционного суда от 10.12.2019, иск удовлетворен. Арбитражный суд Московского округа постановлением от 11.06.2020 решение от 27.08.2019 и постановление Девятого арбитражного апелляционного суда от 10.12.2019 оставил без изменения. В кассационных жалобах банк и общество «Стройпроект» просят об отмене судебных актов, ссылаясь на несоответствие предъявленного 2 требования условиями гарантии и допущенное бенефициаром злоупотребление правом.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кассационных жалоб не усматривается. Суды установили, что требование о платеже соответствует условиям банковской гарантии от 28.02.2018 № GR 183500/0001 и представлено с приложением необходимых документов, что правомерно оценено судами как не позволявшее банку в силу статей 375, 376 Гражданского кодекса Российской Федерации отказать в совершении платежа. Дело № А56-9939/2019, на обстоятельства которого общество «Стройпроект» ссылается, касается подрядных правоотношений и не связано с исполнением банковской гарантии.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и обществу с ограниченной ответственностью «Стройпроект»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