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04.12.2019 иск удовлетворен. Определением Девятого арбитражного апелляционного суда от 25.05.2020, оставленным без изменения постановлением Арбитражного суда Московского округа от 22.07.2020, апелляционная жалоба возвращена ответчику в связи с пропуском срока подачи и отказом в удовлетворении ходатайства о восстановлении срока. В кассационной жалобе общество «ДЕРБИ» просит отменить указанные судебные акты. Кассационная жалоба в части обжалования решения Арбитражного суда города Москвы от 04.12.2019 подана с нарушением подсудности, установленной частью 1 статьи 291.1 Арбитражного процессуального кодекса Российской Федерации, поэтому в силу пункта 5 части 1 статьи 291.5 этого Кодекса в указанной части жалоба не подлежит рассмотрению по существу.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в отношении судебных актов о возвращении апелляционной жалобы не усматривается. Апелляционный суд установил надлежащее извещение заявителя о начавшемся процессе и отсутствие объективных причин, препятствовавших ознакомлению с решением от 04.12.2019, официально опубликованным 05.12.2019, поэтому правомерно отказал в рассмотрении жалобы по существу.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«ДЕРБИ»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СТРАХОВАЯ КОМПАНИЯ "РОСГОССТРАХ" (подробнее) Ответчики: ООО "Дерби"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