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Вологодской области от 25.10.2019, оставленным без изменения постановлением Четырнадцатого арбитражного апелляционного суда от 23.01.2020, в удовлетворении иска отказано. Арбитражный суд Северо-Западного округа постановлением от 04.06.2020 решение от 25.10.2019 и постановление Четырнадцатого арбитражного апелляционного суда от 23.01.2020 оставил без изменения В кассационной жалобе общество «Инвест-плюс» просит об отмене судебных актов, ссылаясь на неправомерность выводов об отсутствии условий для взыскания убытков. В соответствии с положениями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Несвоевременная выплата страхового возмещения не является нарушением страховщика перед обществом, которому не причиталась страховая выплата в связи со страховым случаем в отношении предмета лизинга, поэтому такое нарушение не создает необходимых в силу статей 15 , 393 Гражданского кодекса Российской Федерации условий для возмещения убытков в пользу общества.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«Инвест-плюс»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"Инвест-плюс" (подробнее) Ответчики: ПАО СК "Росгосстрах" (подробнее) ПАО СК "Росгосстрах" в лице Филиала СК "Росгосстрах" в Вологодской области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