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26.03.2019, оставленным без изменения постановлением Восемнадцатого арбитражного апелляционного суда от 13.01.2020 и постановлением Арбитражного суда Уральского округа от 01.06.2020, иск удовлетворен. В кассационной жалобе предприниматель ФИО1 просит об отмене судебных актов, ссылаясь на ненадлежащее извещение его судом о начавшемся судебном процессе, лишившее его возможности заявить о несоразмерности неустойки, и игнорирование несоблюдения истцом обязательного претензионного порядка.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а апелляционный и окружной суды подтвердили извещение заявителя о начавшемся процессе по актуальному адресу, поэтому в соответствии с частью 6 статьи 121 Арбитражного процессуального кодекса Российской Федерации возложили на него последствия неучастия в судебном заседании, представления отзыва и возражений. Руководствуясь статьями 330 , 486 , 454 Гражданского кодекса Российской Федерации, суды удовлетворили иск на основании установленных фактов поставки истцом товара по договору купли-продажи от 04.05.2018 и неоплаты товара ответчиком. Вопрос о досудебном порядке урегулирования спора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