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29.10.2019, оставленным без изменения постановлением Четвертого арбитражного апелляционного суда от 23.12.2019 и постановлением Арбитражного суда Восточно-Сибирского округа от 05.06.2020, в удовлетворении заявления Чеха Е.Г. отказано по мотиву непредставления обоснования возможного возникновения последствий, указанных в пункте 2 статьи 90 Арбитражного процессуального кодекса Российской Федерации. В кассационной жалобе Чех Е.Г. просит о пересмотре судебных актов, ссылаясь на несоответствие их выводов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об обеспечении иска в силу пункта 5 части 2 статьи 92 Арбитражного процессуального кодекса Российской Федерации должно быть аргументировано. Отказывая в удовлетворении заявления, суды исходили из того, что наличие задолженности ответчика само по себе не может рассматриваться в качестве достаточного обоснования невозможного исполнении судебных актов в случае непринятия испрашиваемых обеспечительных мер. Оснований для вмешательства в компетенцию судов на оценку обоснованности требуемых мер на стадии кассационного производства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Чеху Евгению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