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в связи с отсутствием денежных средств на расчетном счете, сведения о принадлежности и состоянии которого подтверждает прилагаемыми документами налогового органа и обслуживающего банка.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Учитывая подтвержденность невозможности уплаты государственной пошлины за подачу кассационной жалобы,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«Базальт»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"Базальт" (подробнее) Ответчики: ООО "КВАРТАЛ" (подробнее) ООО "ТехСтройМонтаж" (подробнее) Судьи дела: Ксенофонтова Н.А. (судья) (подробнее) Последние документы по делу: Определение от 21 сентября 2020 г. по делу № А55-20312/2019 Определение от 11 августа 2020 г. по делу № А55-20312/2019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