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04.10.2019, оставленным без изменения постановлением Девятого арбитражного апелляционного суда от 12.12.2019, первоначальный иск удовлетворен, в удовлетворении встречного иска отказано. Арбитражный суд Московского округа постановлением от 01.06.2020 решение от 04.10.2019 и постановление Девятого арбитражного апелляционного суда от 12.12.2019 оставил без изменения. В кассационной жалобе общество «Сувенир Сити» просит об отмене судебных актов, ссылаясь на ничтожность условия договора об ограничении ответственности перевозчика и неправомерное возложение обязанности по завышенной оплате некачественно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Позиция заявителя о ничтожности условия договора перевозки об ограничении ответственности перевозчика за косвенные убытки, непредвиденные расходы, особые виды ущерба, а также санкции, предъявленные заказчику третьими лицами, противоречит пункту 4 статьи 421 Гражданского кодекса Российской Федерации). Размер задолженности за услуги установлен судами исходя из условий договора экспресс-перевозки при непредставлении доказательств наличия убытков в связи со сроком доставки груза.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«Сувенир Сити»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"ТНТ Экспресс Уорлдуайд СНГ" (подробнее) Ответчики: ООО "СУВЕНИР СИТИ"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