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18.12.2019, оставленным без изменения постановлением Пятого арбитражного апелляционного суда от 13.03.2020 и постановлением Арбитражного суда Дальневосточного округа от 23.06.2020, в удовлетворении заявления о взыскании судебных расходов отказано. В кассационной жалобе заявитель просит о пересмотре судебных актов, ссылаясь на правомерность уступки будущих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цессии от 01.07.2017 заключен между истцом и заявителем после вынесения решения суда и понесения собственно истцом расходов на рассмотрение дела, не явившихся предметом цессии. Таким образом, вывод о том, что цессия не является основанием для взыскания судебных расходов в пользу заявителя является правомерным.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Балышов Ульфат Юнис оглы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