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06.09.2019, оставленным без изменения постановлением Девятого арбитражного апелляционного суда от 19.12.2019, в удовлетворении иска отказано вследствие пропуска срока исковой давности. Арбитражный суд Московского округа постановлением от 04.06.2020 решение от 06.09.2019 и постановление Девятого арбитражного апелляционного суда от 19.12.2019 оставил без изменения. В кассационной жалобе общество «ВТБ-лизинг» просит об отмене судебных актов, ссылаясь на неправильное определение начала течения срока исковой давности применительно к спорным правоотношениям.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Начало течения срока исковой давности определяется моментом неисполнения страховщиком обязанности по выплате страхового возмещения, обусловленным обращением к нему страхователя. Сроки исполнения сторонами названных обязанностей определяются на основании договора, а в случае отсутствия договорных сроков – по правилам статьи 314 Гражданского кодекса Российской Федерации. Суды установили, что в договоре страхования (полисе) от 20.05.2015 серии 0095020 № 200370422/15-ТЮЛ установлены сроки уведомления о наступлении страхового случая и реагирования на него, поэтому договорные, а не фактические сроки совершения сторонами названных действий в соответствии с правилами статей 200 , 966 Гражданского кодекса Российской Федерации приняты судами для определения начала течения срока исковой давности.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«ВТБ-лизинг»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ВТБ ЛИЗИНГ (подробнее) Ответчики: ООО "Страховая компания "Согласие" (подробнее) Судьи дела: Ксенофонтова Н.А.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