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Арбитражного суда Московской области от 30.08.2019, оставленным без изменения постановлением Десятого арбитражного апелляционного суда от 06.11.2019, в удовлетворении иска отказано. Арбитражный суд Московского округа постановлением от 10.06.2020 решение от 30.08.2019 и постановление Десятого арбитражного апелляционного суда от 06.11.2019 оставил без изменения. В кассационной жалобе предприниматель просит об отмене судебных актов вследствие непризнания за ним права на получение страхового возмещения и принятия ненадлежащего доказательства размера убытков.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Учитывая необоснование наличия расходов, превышающих выплаченное предпринимателю страховое возмещение, перед лизингодателем либо в связи с гибелью застрахованного имущества, во взыскании заявленных убытков как не доказанных правомерно отказано.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ИП Бальде А.А. Представитель Иванов И.А. (подробнее) ИП Бальде Алексей Александрович (подробнее) Ответчики: ПАО СК "Росгосстрах"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