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04.12.2019 иск удовлетворен. Определением Девятого арбитражного апелляционного суда от 29.05.2020, оставленным без изменения постановлением Арбитражного суда Московского округа от 20.07.2020, апелляционная жалоба возвращена ответчику в связи с пропуском срока подачи и отказом в удовлетворении ходатайства о восстановлении срока. В кассационной жалобе общество «ДЕРБИ» просит отменить указанные судебные акты. Кассационная жалоба в части обжалования решения Арбитражного суда города Москвы от 04.12.2019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на судебные акты о возвращении апелляционной жалобы не усматривается. Апелляционный суд установил надлежащее извещение заявителя о начавшемся процессе и отсутствие объективных препятствий для ознакомления с решением от 04.12.2019, официально опубликованным 05.12.2019, поэтому правомерно отказал в рассмотрении жалобы по существу.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«ДЕРБИ»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СТРАХОВАЯ КОМПАНИЯ "РОСГОССТРАХ" (подробнее) Ответчики: ООО "Дерби"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