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17.09.2019, оставленным без изменения постановлением Семнадцатого арбитражного апелляционного суда от 20.12.2019, в удовлетворении первоначального иска отказано, по встречному иску договор займа от 25.06.2018 № 1-2018 признан недействительной сделкой. Арбитражный суд Уральского округа постановлением от 04.06.2020 решение от 17.09.2019 и постановление Семнадцатого арбитражного апелляционного суда от 20.12.2019 оставил без изменения. В кассационной жалобе бюро просит об отмене судебных актов,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основания для применения ответственности и освобождения от нее полностью или частично, устанавливаются судами нижестоящих инстанций в соответствии с компетенцией и не пересматриваются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бюро «Практика»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"ЮРИДИЧЕСКОЕ БЮРО ЖИГАЛОВА И ПАРТНЕРЫ" (подробнее) ООО "ЮРИДИЧЕСКОЕ БЮРО "ПРАКТИКА" (подробнее) Ответчики: Общество с ограниченной ответственностью "Технологии Строительства"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