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18.10.2019, оставленным без изменения постановлением Девятого арбитражного апелляционного суда от 27.01.2020 и постановлением Арбитражного суда Московского округа от 04.06.2020, заявление общества «Паритет» о взыскании 350 000 рублей судебных расходов удовлетворено на 45 000 рублей. В кассационной жалобе общество «Паритет» просит об отмене судебных актов в отношении не взысканной части судебных расходов, ссылаясь на необоснованное уменьшение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истцом в связи с рассмотрением дела, во взысканном размере. Доводы жалобы сводятся к иной оценке обстоятельств несения расходов, не создающей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"Паритет" (подробнее) Ответчики: ООО "Кубанская винная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