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27.12.2019, оставленным без изменения постановлением Девятого арбитражного апелляционного суда от 15.04.2020 и постановлением Арбитражного суда Московского округа от 16.07.2020, в удовлетворении иска отказано в связи с отсутствием условий для признания оспариваемого соглашения недействительным. В кассационной жалобе общество «Премиум» просит об отмене судебных актов как принятых без надлежащей оценки обстоятельств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оспариваемым дополнительным соглашением стороны изменили объем уступаемых прав и в соответствии с изменениями рассмотрен спор об исполнении договора уступки (дело № А40-247366/2017). Указанное обстоятельство обусловливает юридическую силу дополнительного соглашения.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«Премиум»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"Премиум" (подробнее) Ответчики: ООО "Статус-групп"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