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11.07.2019, оставленным без изменения постановлением Восемнадцатого арбитражного апелляционного суда от 22.11.2019 и постановлением Арбитражного суда Уральского округа от 26.05.2020, иск удовлетворен. В кассационной жалобе общество «АБЗ № 1» просит о пересмотре судебных актов, ссылаясь на нарушение договорного срока предъявления требования и принятие в обоснование простоя ненадлежащего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взыскиваемой платы и нарушение ответчиком согласованного срока выгрузки вагонов, за которое она применяется, поэтому удовлетворили иск в соответствии с договором от 25.12.2017 № 23/5ЖА и статьями 421 , 458 , 506 , 510 Гражданского кодекса Российской Федерации. Предъявление иска в пределах срока исковой давности и подтвержденность нарушения срока оборачиваемости вагона установлена судами. Отличная от судебной оценка обстоятельств исполнения договора и представленных доказательств, изложенная в кассационной жалобе,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«АБЗ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"Орское карьероуправление" (подробнее) Ответчики: ООО "АБЗ №1" (подробнее) Иные лица: Арбитражный суд Уральского округа (подробнее) Восемнадцатый арбитражный апелляционный суд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