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25.10.2019, оставленным без изменения постановлением Тринадцатого арбитражного апелляционного суда от 04.03.2020, иск удовлетворен. Арбитражный суд Северо-Западного округа постановлением от 10.07.2020 решение от 25.10.2019 и постановление Тринадцатого арбитражного апелляционного суда от 04.03.2020 оставил без изменения. В кассационной жалобе общество «ПромГражданСтрой» просит об отмене судебных актов, ссылаясь на игнорирование ненадлежащих доказательств и заявления об их фальсификации.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Руководствуясь статьями 395 , 785 , 786 , 793 Гражданского кодекса Российской Федерации, суды удовлетворили иск по установленным обстоятельствам осуществления истцом перевозки грузов в рамках договора от 27.10.2017 № 15/10-17 и неоплаты их ответчиком в полном объеме. Результат рассмотрения заявления о фальсификации товарно- транспортных накладных отражен в судебных актах Вопросы доказывания и оценки доказательств, заложенные в доводах жалобы,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«ПромГражданСтрой»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"УМ-13-СПб" (подробнее) Ответчики: ООО "ПромГражданСтрой" (подробнее) Иные лица: МИФНС №17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