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10.10.2019 иск удовлетворен. Постановлением Девятого арбитражного апелляционного суда от 07.02.2020 решение отменено, в иске отказано. Постановлением Арбитражного суда Московского округа от 04.06.2020, постановление апелляционного суда отменено, решение оставлено в силе. В кассационной жалобе предприниматель просит о пересмотре решения и постановления окружного суда, ссылаясь на заведомое перечисление денежных средств по произвольному основанию, исключающее их возврат.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Отсутствие основания для перечисления денежных средств признается заявителем. Отказ от возврата денежных средств на основании статьи 1109 Гражданского кодекса Российской Федерации невозможен исходя из предпринимательского характера правоотношений сторон (статья 575 Гражданского кодекса Российской Федерации).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 Суд: Верховный Суд РФ (подробнее) Истцы: ООО "Евразия" (подробнее) Судьи дела: Ксенофонтова Н.А. (судья) (подробнее) Судебная практика по: Признание договора дарения недействительным Судебная практика по применению нормы ст. 575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