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02.12.2019, оставленным без изменения постановлением Девятого арбитражного апелляционного суда от 02.03.2020, в удовлетворении заявленного требования отказано. Постановлением Арбитражного суда Московского округа от 19.06.2020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считая их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при исчислении налога на имущество по кадастровой стоимости налоговая база объекта недвижимого имущества определена обществом самостоятельно расчетным путем (исходя из такой стоимости за вычетом суммы, равной величине налога на добавленную стоимость) и применена налоговая льгота, предусмотренная пунктом 21 статьи 281 Налогового кодекса Российской Федерации. Оценив представленные доказательства, руководствуясь положениями Налогового кодекса Российской Федерации, Федерального закона от 29.07.1998 № 135-ФЗ «Об оценочной деятельности в Российской Федерации», суды отказали в удовлетворении заявленных требований, признав, что применение для целей налогообложения стоимости, отличной от кадастровой стоимости, содержащейся в государственном реестре, действующим законодательством не предусмотрено; примененная льгота, которая освобождает объекты недвижимости высокого класса энергетической эффективности от налогообложения, не распространяется на нежилые здания, строения, сооружения.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в том числе, с учетом правовых позиций, изложенных в пункте 32 Обзора судебной практики Верховного Суда Российской Федерации № 4 (2018), утвержденного Президиумом Верховного Суда Российской Федерации 26.12.2018, и Определениях Конституционного Суда Российской Федерации от 02.07.2019 № 1831-О и № 1832-О.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"Аукцион" (подробнее) Ответчики: Инспекция Федеральной налоговой службы №30 по г. 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