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Смоленской области от 16.03.2020 признаны недействительными взаимосвязанные сделки должника, применены последствия недействительности сделок. Не согласившись с названным судебным актом, Желудков А.В. обжаловал его в апелляционном порядке. Определением Двадцатого арбитражного апелляционного суда от 28.04.2020, оставленным без изменения постановлением Арбитражного суда Центрального округа от 26.06.2020,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апелляционный суд, руководствуясь положениями статей 113, 115, 117, 121, 259, 264 Арбитражного процессуального кодекса Российской Федерации, пунктом 34 постановления Пленума Высшего Арбитражного Суда Российской Федерации от 25.12.2013 № 99 «О процессуальных сроках», исходил из пропуска заявителем, извещённым надлежащим образом о рассмотрении настоящего обособленного спора, процессуального срока на её подачу и не представившим доказательства наличия юридически значимых обстоятельств, объективно препятствовавших своевременно реализовать своё право на обжалование судебного акта в установленный законом срок.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Желудкову Андрею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