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 договора уступки прав (требований) от 01.04.2017, заключенного между должником и обществом с ограниченной ответственностью «Профит» (реорганизовано 14.12.2018 в форме присоединения к обществу с ограниченной ответственностью «Легат»; далее – общество) на сумму 27 364 809 рублей 42 копеек, возникших из договоров займа; применении последствий недействительности сделки. Определением Арбитражного суда Московской области от 18.06.2019 заявление удовлетворено. Постановлением Десятого арбитражного апелляционного суда от 10.12.2019, оставленным без изменения постановлением Арбитражного суда Московского округа от 09.06.2020,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руководствуясь пунктом 1 статьи 61.2 Федерального закона от 26.10.2002 № 127-ФЗ «О несостоятельности (банкротстве)», пунктами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отсутствия совокупности условий для признания недействительной оспариваемой сделки ввиду её реальности, получения должником равноценного встречного предоставления в виде денежных средств за уступленное обществу право требования к третьему лицу по договорам процентного займа.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Кравцова Виктора Фёдоровича Семченко Евгению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