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должник, общество с ограниченной ответственностью «Стройтрест», ФИО1 и ФИО2 обратились в суд с заявлениями, объединёнными в одно производство для совместного рассмотрения, о процессуальном правопреемстве взыскателя на них в части требования о взыскании с компании 1 812 575 рублей 99 копеек. Определением Арбитражного суда Новгородской области от 04.09.2019 заявления удовлетворены. Постановлением Четырнадцатого арбитражного апелляционного суда от 23.12.2019, оставленным без изменения постановлением Арбитражного суда Северо-Западного округа от 14.05.2020, вышеуказанное определение отменено по безусловным основаниям, дело рассмотрено по правилам, установленным для рассмотрения дела в суде первой инстанции; заявления удовлетворены.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 руководствовался статьёй 48 Арбитражного процессуального кодекса Российской Федерации, статьями 382 , 384 , 388 Гражданского кодекса Российской Федерации, исходил из действительности заключенного сторонами договора уступки требования (цессии), а также переданных по ним прав требований к компании, что повлекло правопреемство в материальном правоотношении и послужило основанием для осуществления процессуальной замены должника на его правопреемников.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«Регионтранс»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Ответчики: ООО "Шварковский Камень" (подробнее) Иные лица: Арбитражный суд Северо-Западного округа (подробнее) Межрайонная ИФНС №9 по Новгородской области (подробнее) Мировой судья судебного участка №23 (подробнее) ООО "Регионтранс" (подробнее) ООО "Регионтранс" Штапаук Петр Алексеевич (подробнее) ООО "СтройТрест" (подробнее) ООО "СтройТрест", Волков А.Ю., Чернов В.А. (подробнее) Четырнадцатый арбитражный апелляционный суд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