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Оренбургской области с иском, уточненным в порядке статьи 49 Арбитражного процессуального кодекса Российской Федерации, о взыскании со страхового акционерного общества «ВСК» 15 554 рублей утраты товарной стоимости и 5 000 рублей расходов по оплате судебной экспертизы. К участию в деле в качестве третьих лиц, не заявляющих самостоятельных требований относительно предмета спора, привлечены акционерное общество «ВЭБ-лизинг», ФИО2. Решением Арбитражного суда Оренбургской области от 14.08.2019 в удовлетворении иска отказано. Постановлением Восемнадцатого арбитражного апелляционного суда от 06.11.2019 решение суда первой инстанции оставлено без изменения. Арбитражный суд Уральского округа постановлением от 27.02.2020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нарушение судами норм права. Письмом судьи Верховного Суда Российской Федерации от 28.07.2020 дело истребовано из Арбитражного суда Оренбургской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добровольного страхования и Правила комбинированного страхования автотранспортных средств, руководствуясь положениями статей 421 , 929 , 942 , 943 Гражданского кодекса Российской Федерации, статьей 10 Закона Российской Федерации от 27.11.1992 № 4015-1 «Об организации страхового дела в Российской Федерации», суды пришли к выводу, что сторонами договора не согласовано условие о том, что утрата товарной стоимости подлежит возмещению в составе страхового возмещения.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Ленинг Виталий Александрович (подробнее) Ответчики: АО Страховое "ВСК" (подробнее) САО "ВСК" (подробнее) Иные лица: Арбитражный суд Уральского округа (подробнее) Восемнадцатый арбитражный апелляционный суд (подробнее) ИП Кулакову И.С. (подробнее) ИП Лыжину А.В. (подробнее) ИП НИКОНОВУ Е.А. (подробнее) ИП ЯКУНИНУ С.Н. (подробнее) ООО "Кротон" (подробнее) ООО "Независимое экспертное бюро" (подробнее) ООО "Региональный экспертно-оценочный Центр" (подробнее) Центр оценки "ОренЭксперт"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