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 договора купли-продажи квартиры от 09.11.2016, заключенного между супругой должника – Зайцевой Людмилой Ивановной и их дочерью – Давыдовой Анны Петровны. Определением Арбитражного суда Самарской области от 30.12.2019, оставленным без изменения постановлениями Одиннадцатого арбитражного апелляционного суда от 28.02.2020 и Арбитражного суда Поволжского округа от 04.06.2019,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статьями 36, 45 Семейного кодекса Российской Федерации, статьями 61.2, 61.3, 213.25 Федерального закона от 26.10.2002 № 127-ФЗ «О несостоятельности (банкротстве)», пунктом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отсутствия совокупности условий для признания недействительной оспариваемой сделки, установив приобретение квартиры супругой должника на личные денежные средства, вырученные от последовательных приобретения и продажи ряда других квартир, что исключало возможность распространения на неё режима общей совместной собственности.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«Электро Лифт Ремонт»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